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AF" w:rsidRDefault="00D519AF"/>
    <w:p w:rsidR="000F17D5" w:rsidRDefault="000F17D5"/>
    <w:p w:rsidR="000F17D5" w:rsidRDefault="000F17D5"/>
    <w:p w:rsidR="000F17D5" w:rsidRDefault="000F17D5">
      <w:r>
        <w:rPr>
          <w:noProof/>
        </w:rPr>
        <w:drawing>
          <wp:inline distT="0" distB="0" distL="0" distR="0">
            <wp:extent cx="5940425" cy="83988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7D5" w:rsidRDefault="000F17D5"/>
    <w:p w:rsidR="000F17D5" w:rsidRDefault="000F17D5"/>
    <w:p w:rsidR="000F17D5" w:rsidRPr="004B26EE" w:rsidRDefault="000F17D5" w:rsidP="000F17D5">
      <w:pPr>
        <w:pStyle w:val="a5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26E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9775" cy="739775"/>
            <wp:effectExtent l="0" t="0" r="3175" b="3175"/>
            <wp:docPr id="10" name="Рисунок 10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D5" w:rsidRPr="004B26EE" w:rsidRDefault="000F17D5" w:rsidP="000F17D5">
      <w:pPr>
        <w:pStyle w:val="a5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0F17D5" w:rsidRPr="004B26EE" w:rsidRDefault="000F17D5" w:rsidP="000F17D5">
      <w:pPr>
        <w:pStyle w:val="a5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B26E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КОНТРОЛЬНО-СЧЕТНАЯ ПАЛАТА </w:t>
      </w:r>
    </w:p>
    <w:p w:rsidR="000F17D5" w:rsidRPr="004B26EE" w:rsidRDefault="000F17D5" w:rsidP="000F17D5">
      <w:pPr>
        <w:pStyle w:val="a5"/>
        <w:spacing w:after="0"/>
        <w:jc w:val="center"/>
        <w:outlineLvl w:val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4B26E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КОРСАКОВСКОГО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МУНИЦИПАЛЬНОГО </w:t>
      </w:r>
      <w:r w:rsidRPr="004B26EE">
        <w:rPr>
          <w:rFonts w:ascii="Times New Roman" w:hAnsi="Times New Roman" w:cs="Times New Roman"/>
          <w:bCs w:val="0"/>
          <w:color w:val="auto"/>
          <w:sz w:val="24"/>
          <w:szCs w:val="24"/>
        </w:rPr>
        <w:t>ОКРУГА</w:t>
      </w:r>
    </w:p>
    <w:p w:rsidR="000F17D5" w:rsidRPr="004B26EE" w:rsidRDefault="000F17D5" w:rsidP="000F17D5">
      <w:pPr>
        <w:jc w:val="center"/>
        <w:rPr>
          <w:sz w:val="24"/>
          <w:szCs w:val="24"/>
        </w:rPr>
      </w:pPr>
      <w:r w:rsidRPr="004B26EE">
        <w:rPr>
          <w:sz w:val="24"/>
          <w:szCs w:val="24"/>
        </w:rPr>
        <w:t xml:space="preserve">694020, Сахалинская область, </w:t>
      </w:r>
      <w:proofErr w:type="gramStart"/>
      <w:r w:rsidRPr="004B26EE">
        <w:rPr>
          <w:sz w:val="24"/>
          <w:szCs w:val="24"/>
        </w:rPr>
        <w:t>г</w:t>
      </w:r>
      <w:proofErr w:type="gramEnd"/>
      <w:r w:rsidRPr="004B26EE">
        <w:rPr>
          <w:sz w:val="24"/>
          <w:szCs w:val="24"/>
        </w:rPr>
        <w:t xml:space="preserve">. Корсаков, ул. </w:t>
      </w:r>
      <w:proofErr w:type="spellStart"/>
      <w:r w:rsidRPr="004B26EE">
        <w:rPr>
          <w:sz w:val="24"/>
          <w:szCs w:val="24"/>
        </w:rPr>
        <w:t>Корсаковская</w:t>
      </w:r>
      <w:proofErr w:type="spellEnd"/>
      <w:r w:rsidRPr="004B26EE">
        <w:rPr>
          <w:sz w:val="24"/>
          <w:szCs w:val="24"/>
        </w:rPr>
        <w:t>, 14,</w:t>
      </w:r>
    </w:p>
    <w:p w:rsidR="000F17D5" w:rsidRPr="004B26EE" w:rsidRDefault="000F17D5" w:rsidP="000F17D5">
      <w:pPr>
        <w:jc w:val="center"/>
        <w:rPr>
          <w:sz w:val="24"/>
          <w:szCs w:val="24"/>
        </w:rPr>
      </w:pPr>
      <w:r w:rsidRPr="004B26EE">
        <w:rPr>
          <w:sz w:val="24"/>
          <w:szCs w:val="24"/>
        </w:rPr>
        <w:t xml:space="preserve">тел. (424 35) 4-11-54, факс: (424 35) 4-11-54, </w:t>
      </w:r>
      <w:r w:rsidRPr="004B26EE">
        <w:rPr>
          <w:sz w:val="24"/>
          <w:szCs w:val="24"/>
          <w:lang w:val="en-US"/>
        </w:rPr>
        <w:t>e</w:t>
      </w:r>
      <w:r w:rsidRPr="004B26EE">
        <w:rPr>
          <w:sz w:val="24"/>
          <w:szCs w:val="24"/>
        </w:rPr>
        <w:t>-</w:t>
      </w:r>
      <w:proofErr w:type="spellStart"/>
      <w:r w:rsidRPr="004B26EE">
        <w:rPr>
          <w:sz w:val="24"/>
          <w:szCs w:val="24"/>
        </w:rPr>
        <w:t>mail</w:t>
      </w:r>
      <w:proofErr w:type="spellEnd"/>
      <w:r w:rsidRPr="004B26EE">
        <w:rPr>
          <w:sz w:val="24"/>
          <w:szCs w:val="24"/>
        </w:rPr>
        <w:t xml:space="preserve">: </w:t>
      </w:r>
      <w:hyperlink r:id="rId9" w:history="1">
        <w:r w:rsidRPr="004B26EE">
          <w:rPr>
            <w:rStyle w:val="a4"/>
            <w:sz w:val="24"/>
            <w:szCs w:val="24"/>
          </w:rPr>
          <w:t>k</w:t>
        </w:r>
        <w:r w:rsidRPr="004B26EE">
          <w:rPr>
            <w:rStyle w:val="a4"/>
            <w:sz w:val="24"/>
            <w:szCs w:val="24"/>
            <w:lang w:val="en-US"/>
          </w:rPr>
          <w:t>spkorsakov</w:t>
        </w:r>
        <w:r w:rsidRPr="004B26EE">
          <w:rPr>
            <w:rStyle w:val="a4"/>
            <w:sz w:val="24"/>
            <w:szCs w:val="24"/>
          </w:rPr>
          <w:t>@</w:t>
        </w:r>
        <w:r w:rsidRPr="004B26EE">
          <w:rPr>
            <w:rStyle w:val="a4"/>
            <w:sz w:val="24"/>
            <w:szCs w:val="24"/>
            <w:lang w:val="en-US"/>
          </w:rPr>
          <w:t>mail</w:t>
        </w:r>
        <w:r w:rsidRPr="004B26EE">
          <w:rPr>
            <w:rStyle w:val="a4"/>
            <w:sz w:val="24"/>
            <w:szCs w:val="24"/>
          </w:rPr>
          <w:t>.</w:t>
        </w:r>
        <w:proofErr w:type="spellStart"/>
        <w:r w:rsidRPr="004B26EE">
          <w:rPr>
            <w:rStyle w:val="a4"/>
            <w:sz w:val="24"/>
            <w:szCs w:val="24"/>
          </w:rPr>
          <w:t>ru</w:t>
        </w:r>
        <w:proofErr w:type="spellEnd"/>
      </w:hyperlink>
    </w:p>
    <w:p w:rsidR="000F17D5" w:rsidRPr="004B26EE" w:rsidRDefault="000F17D5" w:rsidP="000F17D5">
      <w:pPr>
        <w:jc w:val="center"/>
        <w:rPr>
          <w:b/>
          <w:bCs/>
          <w:sz w:val="24"/>
          <w:szCs w:val="24"/>
        </w:rPr>
      </w:pPr>
      <w:r w:rsidRPr="00BB0854">
        <w:rPr>
          <w:noProof/>
          <w:sz w:val="24"/>
          <w:szCs w:val="24"/>
        </w:rPr>
        <w:pict>
          <v:line id="Прямая соединительная линия 12" o:spid="_x0000_s1026" style="position:absolute;left:0;text-align:left;flip:y;z-index:251660288;visibility:visible" from="-.1pt,4.45pt" to="476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" strokeweight="2pt">
            <v:stroke startarrowwidth="narrow" startarrowlength="short" endarrowwidth="narrow" endarrowlength="short"/>
          </v:line>
        </w:pict>
      </w:r>
      <w:r w:rsidRPr="00BB0854">
        <w:rPr>
          <w:noProof/>
          <w:sz w:val="24"/>
          <w:szCs w:val="24"/>
        </w:rPr>
        <w:pict>
          <v:line id="Прямая соединительная линия 11" o:spid="_x0000_s1027" style="position:absolute;left:0;text-align:left;z-index:251661312;visibility:visibl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" strokeweight="1pt">
            <v:stroke startarrowwidth="narrow" startarrowlength="short" endarrowwidth="narrow" endarrowlength="short"/>
          </v:line>
        </w:pict>
      </w:r>
    </w:p>
    <w:p w:rsidR="000F17D5" w:rsidRDefault="000F17D5" w:rsidP="000F17D5">
      <w:pPr>
        <w:ind w:firstLine="567"/>
      </w:pPr>
    </w:p>
    <w:p w:rsidR="000F17D5" w:rsidRPr="00A026B0" w:rsidRDefault="000F17D5" w:rsidP="000F17D5">
      <w:pPr>
        <w:ind w:firstLine="567"/>
        <w:jc w:val="center"/>
        <w:rPr>
          <w:sz w:val="24"/>
          <w:szCs w:val="24"/>
        </w:rPr>
      </w:pPr>
      <w:r w:rsidRPr="00A026B0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итоги </w:t>
      </w:r>
      <w:r w:rsidRPr="00A026B0">
        <w:rPr>
          <w:sz w:val="24"/>
          <w:szCs w:val="24"/>
        </w:rPr>
        <w:t xml:space="preserve">деятельности Контрольно-счётной палаты </w:t>
      </w:r>
      <w:proofErr w:type="spellStart"/>
      <w:r w:rsidRPr="00A026B0">
        <w:rPr>
          <w:sz w:val="24"/>
          <w:szCs w:val="24"/>
        </w:rPr>
        <w:t>Корсаковского</w:t>
      </w:r>
      <w:proofErr w:type="spellEnd"/>
      <w:r w:rsidRPr="00A026B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 w:rsidRPr="00A026B0">
        <w:rPr>
          <w:sz w:val="24"/>
          <w:szCs w:val="24"/>
        </w:rPr>
        <w:t xml:space="preserve"> округа за 2024 год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 xml:space="preserve">Контрольно-счётная палата </w:t>
      </w:r>
      <w:proofErr w:type="spellStart"/>
      <w:r w:rsidRPr="00A026B0">
        <w:rPr>
          <w:sz w:val="24"/>
          <w:szCs w:val="24"/>
        </w:rPr>
        <w:t>Корсаковского</w:t>
      </w:r>
      <w:proofErr w:type="spellEnd"/>
      <w:r w:rsidRPr="00A026B0">
        <w:rPr>
          <w:sz w:val="24"/>
          <w:szCs w:val="24"/>
        </w:rPr>
        <w:t xml:space="preserve"> городского округа (КСП) является органом внешнего муниципального финансового контроля, осуществляющим свою деятельность в соответствии с законодательством Российской Федерации и Сахалинской области, а также правовыми актами </w:t>
      </w:r>
      <w:proofErr w:type="spellStart"/>
      <w:r w:rsidRPr="00A026B0">
        <w:rPr>
          <w:sz w:val="24"/>
          <w:szCs w:val="24"/>
        </w:rPr>
        <w:t>Корсаковского</w:t>
      </w:r>
      <w:proofErr w:type="spellEnd"/>
      <w:r w:rsidRPr="00A026B0">
        <w:rPr>
          <w:sz w:val="24"/>
          <w:szCs w:val="24"/>
        </w:rPr>
        <w:t xml:space="preserve"> муниципального округа.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Основные показатели деятельности КСП за 2024 год:</w:t>
      </w:r>
    </w:p>
    <w:p w:rsidR="000F17D5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Проведено 7 контрольных и 6 экспертно-аналитических мероприятий. Охвачено 4 главных распорядителя бюджетных средств и 5 муниципальных учреждений.</w:t>
      </w:r>
      <w:r w:rsidRPr="00A026B0">
        <w:rPr>
          <w:sz w:val="24"/>
          <w:szCs w:val="24"/>
        </w:rPr>
        <w:br/>
        <w:t>Составлено 7 актов о результатах контрольных мероприятий. Общий объём проверенных средств составил 428 663,1 тыс. рублей, в том числе средства других бюджетов в размере 81 546,2 тыс. рублей.</w:t>
      </w:r>
    </w:p>
    <w:p w:rsidR="000F17D5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 xml:space="preserve">Выявлено 26 нарушений на сумму 50 474,8 тыс. рублей, из них финансовые — 43 918,0 тыс. рублей, неэффективные — 6 556,8 тыс. рублей, одно нарушение, по которому расчёт суммы не производится. 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Подлежало устранению нарушений и недостатков на сумму 49 356,3 тыс. рублей, 17 единиц.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На отчётную дату устранены нарушения и недостатки на сумму 11 816,5 тыс. рублей, 5 единиц.</w:t>
      </w:r>
    </w:p>
    <w:p w:rsidR="000F17D5" w:rsidRPr="00D852AE" w:rsidRDefault="000F17D5" w:rsidP="000F17D5">
      <w:pPr>
        <w:pStyle w:val="2"/>
        <w:ind w:left="0" w:firstLine="567"/>
        <w:jc w:val="both"/>
      </w:pPr>
      <w:r w:rsidRPr="00D852AE">
        <w:t>В 2024 году департаментом городского хозяйства и департаментом дорожного хозяйства и благоустройства</w:t>
      </w:r>
      <w:r>
        <w:t xml:space="preserve"> </w:t>
      </w:r>
      <w:r w:rsidRPr="00D852AE">
        <w:t xml:space="preserve">не внесены изменения в муниципальные правые акты органа местного самоуправления, что повлекло неисполнение обязательств по устранению нарушений в полном объеме. </w:t>
      </w:r>
    </w:p>
    <w:p w:rsidR="000F17D5" w:rsidRPr="00D852AE" w:rsidRDefault="000F17D5" w:rsidP="000F17D5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52AE">
        <w:rPr>
          <w:rFonts w:ascii="Times New Roman" w:hAnsi="Times New Roman" w:cs="Times New Roman"/>
          <w:sz w:val="24"/>
          <w:szCs w:val="24"/>
        </w:rPr>
        <w:t>епартаментом имущественных отношений не принят Порядок финансирования и организации работ по капитальному ремонту объектов муниципального жилищного фонда, вместе с Перечнем дополнительных работ по приведению жилых помещений в состояние, пригодное для проживания.</w:t>
      </w:r>
    </w:p>
    <w:p w:rsidR="000F17D5" w:rsidRDefault="000F17D5" w:rsidP="000F17D5">
      <w:pPr>
        <w:pStyle w:val="2"/>
        <w:ind w:left="0" w:firstLine="567"/>
        <w:jc w:val="both"/>
      </w:pPr>
      <w:r>
        <w:t>Д</w:t>
      </w:r>
      <w:r w:rsidRPr="00D852AE">
        <w:t>епартаментом городского хозяйства и департаментом дорожного хозяйства и благоустройства</w:t>
      </w:r>
      <w:r>
        <w:t xml:space="preserve">, без подтверждения </w:t>
      </w:r>
      <w:r w:rsidRPr="00444A44">
        <w:t>фактически понесенны</w:t>
      </w:r>
      <w:r>
        <w:t>х</w:t>
      </w:r>
      <w:r w:rsidRPr="00444A44">
        <w:t xml:space="preserve"> расход</w:t>
      </w:r>
      <w:r>
        <w:t xml:space="preserve">ов, оплачены услуги по </w:t>
      </w:r>
      <w:r w:rsidRPr="00444A44">
        <w:t>ликвидации несанкционированных свалок с территории округа</w:t>
      </w:r>
      <w:r>
        <w:t xml:space="preserve">, что </w:t>
      </w:r>
      <w:proofErr w:type="gramStart"/>
      <w:r>
        <w:t>привело</w:t>
      </w:r>
      <w:proofErr w:type="gramEnd"/>
      <w:r>
        <w:t xml:space="preserve"> прежде всего к нарушению условий муниципальных контрактов и как следствие законодательства о закупках.</w:t>
      </w:r>
    </w:p>
    <w:p w:rsidR="000F17D5" w:rsidRDefault="000F17D5" w:rsidP="000F17D5">
      <w:pPr>
        <w:pStyle w:val="2"/>
        <w:ind w:left="0" w:firstLine="567"/>
        <w:jc w:val="both"/>
      </w:pPr>
      <w:r>
        <w:t xml:space="preserve">В рамках последующего контроля, подтверждающие документы, указанные в муниципальных контрактах, </w:t>
      </w:r>
      <w:r w:rsidRPr="00D852AE">
        <w:t>департаментом городского хозяйства и департаментом дорожного хозяйства и благоустройства</w:t>
      </w:r>
      <w:r>
        <w:t xml:space="preserve"> не представлены.</w:t>
      </w:r>
    </w:p>
    <w:p w:rsidR="000F17D5" w:rsidRDefault="000F17D5" w:rsidP="000F17D5">
      <w:pPr>
        <w:pStyle w:val="2"/>
        <w:ind w:left="0" w:firstLine="567"/>
        <w:jc w:val="both"/>
      </w:pPr>
      <w:r>
        <w:t>Д</w:t>
      </w:r>
      <w:r w:rsidRPr="00D852AE">
        <w:t>епартамент городского хозяйства и департамент дорожного хозяйства и благоустройства</w:t>
      </w:r>
      <w:r>
        <w:t xml:space="preserve">, ограничились сообщением о полной минимизации коррупционных рисков в дальнейшем исполнении муниципальных контрактов по </w:t>
      </w:r>
      <w:r w:rsidRPr="00444A44">
        <w:t>ликвидации несанкционированных свалок с территории округа</w:t>
      </w:r>
      <w:r>
        <w:t>.</w:t>
      </w:r>
    </w:p>
    <w:p w:rsidR="000F17D5" w:rsidRDefault="000F17D5" w:rsidP="000F17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Принято решение о продлении срока исполнения по Представлениям КСП.</w:t>
      </w:r>
    </w:p>
    <w:p w:rsidR="000F17D5" w:rsidRDefault="000F17D5" w:rsidP="000F17D5">
      <w:pPr>
        <w:ind w:firstLine="567"/>
        <w:jc w:val="both"/>
        <w:rPr>
          <w:sz w:val="24"/>
          <w:szCs w:val="24"/>
        </w:rPr>
      </w:pP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lastRenderedPageBreak/>
        <w:t xml:space="preserve">КСП продолжала свою деятельность в соответствии с планом работы, уделяя особое внимание </w:t>
      </w:r>
      <w:proofErr w:type="gramStart"/>
      <w:r w:rsidRPr="00A026B0">
        <w:rPr>
          <w:sz w:val="24"/>
          <w:szCs w:val="24"/>
        </w:rPr>
        <w:t>контролю за</w:t>
      </w:r>
      <w:proofErr w:type="gramEnd"/>
      <w:r w:rsidRPr="00A026B0">
        <w:rPr>
          <w:sz w:val="24"/>
          <w:szCs w:val="24"/>
        </w:rPr>
        <w:t xml:space="preserve"> расходованием бюджетных средств и соблюдением законодательства. Работа палаты была направлена на повышение эффективности и прозрачности использования бюджетных средств, а также на предотвращение нарушений и недостатков в финансовой деятельности органов местного самоуправления и муниципальных учреждений.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В отчётном периоде КСП активно взаимодействовала с органами местного самоуправления, муниципальными учреждениями и другими заинтересованными сторонами, проводя совместные мероприятия и обсуждения по вопросам финансового контроля.</w:t>
      </w:r>
    </w:p>
    <w:p w:rsidR="000F17D5" w:rsidRPr="00A026B0" w:rsidRDefault="000F17D5" w:rsidP="000F17D5">
      <w:pPr>
        <w:ind w:firstLine="567"/>
        <w:jc w:val="both"/>
        <w:rPr>
          <w:sz w:val="24"/>
          <w:szCs w:val="24"/>
        </w:rPr>
      </w:pPr>
      <w:r w:rsidRPr="00A026B0">
        <w:rPr>
          <w:sz w:val="24"/>
          <w:szCs w:val="24"/>
        </w:rPr>
        <w:t>Таким образом, К</w:t>
      </w:r>
      <w:r>
        <w:rPr>
          <w:sz w:val="24"/>
          <w:szCs w:val="24"/>
        </w:rPr>
        <w:t>СП</w:t>
      </w:r>
      <w:r w:rsidRPr="00A026B0">
        <w:rPr>
          <w:sz w:val="24"/>
          <w:szCs w:val="24"/>
        </w:rPr>
        <w:t xml:space="preserve"> продолжает свою работу по обеспечению прозрачности и эффективности использования бюджетных средств, а также по предотвращению нарушений и недостатков в финансовой деятельности органов местного самоуправления и муниципальных учреждений.</w:t>
      </w:r>
    </w:p>
    <w:p w:rsidR="000F17D5" w:rsidRDefault="000F17D5"/>
    <w:sectPr w:rsidR="000F17D5" w:rsidSect="00D5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B3" w:rsidRDefault="004F4BB3" w:rsidP="000F17D5">
      <w:r>
        <w:separator/>
      </w:r>
    </w:p>
  </w:endnote>
  <w:endnote w:type="continuationSeparator" w:id="0">
    <w:p w:rsidR="004F4BB3" w:rsidRDefault="004F4BB3" w:rsidP="000F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B3" w:rsidRDefault="004F4BB3" w:rsidP="000F17D5">
      <w:r>
        <w:separator/>
      </w:r>
    </w:p>
  </w:footnote>
  <w:footnote w:type="continuationSeparator" w:id="0">
    <w:p w:rsidR="004F4BB3" w:rsidRDefault="004F4BB3" w:rsidP="000F1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7D5"/>
    <w:rsid w:val="000F17D5"/>
    <w:rsid w:val="00223E14"/>
    <w:rsid w:val="004F4BB3"/>
    <w:rsid w:val="0061120A"/>
    <w:rsid w:val="008A0864"/>
    <w:rsid w:val="00D5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D5"/>
    <w:pPr>
      <w:spacing w:after="0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A"/>
    <w:pPr>
      <w:spacing w:after="160"/>
      <w:ind w:left="720" w:right="4253"/>
      <w:contextualSpacing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0F17D5"/>
    <w:rPr>
      <w:color w:val="0000FF" w:themeColor="hyperlink"/>
      <w:u w:val="single"/>
    </w:rPr>
  </w:style>
  <w:style w:type="paragraph" w:styleId="a5">
    <w:name w:val="caption"/>
    <w:basedOn w:val="a"/>
    <w:next w:val="a"/>
    <w:uiPriority w:val="99"/>
    <w:semiHidden/>
    <w:unhideWhenUsed/>
    <w:qFormat/>
    <w:rsid w:val="000F17D5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2">
    <w:name w:val="Абзац списка2"/>
    <w:basedOn w:val="a"/>
    <w:rsid w:val="000F17D5"/>
    <w:pPr>
      <w:ind w:left="720"/>
    </w:pPr>
    <w:rPr>
      <w:rFonts w:eastAsia="Calibri"/>
      <w:sz w:val="24"/>
      <w:szCs w:val="24"/>
    </w:rPr>
  </w:style>
  <w:style w:type="character" w:customStyle="1" w:styleId="a6">
    <w:name w:val="Основной текст_"/>
    <w:link w:val="20"/>
    <w:locked/>
    <w:rsid w:val="000F17D5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0F17D5"/>
    <w:pPr>
      <w:widowControl w:val="0"/>
      <w:shd w:val="clear" w:color="auto" w:fill="FFFFFF"/>
      <w:spacing w:after="360" w:line="0" w:lineRule="atLeast"/>
      <w:ind w:hanging="19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17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7D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F17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1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F17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17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0EA0E-A1BB-4C4D-90A6-96BB84A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Company>Krokoz™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2025-04-01T23:41:00Z</dcterms:created>
  <dcterms:modified xsi:type="dcterms:W3CDTF">2025-04-01T23:44:00Z</dcterms:modified>
</cp:coreProperties>
</file>